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336802"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Приложение № </w:t>
      </w:r>
      <w:r w:rsidR="00261825" w:rsidRPr="00336802">
        <w:rPr>
          <w:rFonts w:ascii="Times New Roman" w:eastAsia="Times New Roman" w:hAnsi="Times New Roman" w:cs="Times New Roman"/>
          <w:sz w:val="24"/>
          <w:szCs w:val="24"/>
          <w:lang w:eastAsia="ru-RU"/>
        </w:rPr>
        <w:t>8</w:t>
      </w:r>
    </w:p>
    <w:p w:rsidR="008920C7" w:rsidRPr="007623F1" w:rsidRDefault="008920C7" w:rsidP="008920C7">
      <w:pPr>
        <w:spacing w:after="0" w:line="240" w:lineRule="auto"/>
        <w:ind w:left="4248"/>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№___</w:t>
      </w:r>
      <w:r w:rsidR="00732B8D">
        <w:rPr>
          <w:rFonts w:ascii="Times New Roman" w:eastAsia="Times New Roman" w:hAnsi="Times New Roman" w:cs="Times New Roman"/>
          <w:sz w:val="24"/>
          <w:szCs w:val="24"/>
          <w:lang w:eastAsia="ru-RU"/>
        </w:rPr>
        <w:t>________от «___»____________201</w:t>
      </w:r>
      <w:r w:rsidR="00732B8D" w:rsidRPr="00261825">
        <w:rPr>
          <w:rFonts w:ascii="Times New Roman" w:eastAsia="Times New Roman" w:hAnsi="Times New Roman" w:cs="Times New Roman"/>
          <w:sz w:val="24"/>
          <w:szCs w:val="24"/>
          <w:lang w:eastAsia="ru-RU"/>
        </w:rPr>
        <w:t>6</w:t>
      </w:r>
      <w:r w:rsidRPr="007623F1">
        <w:rPr>
          <w:rFonts w:ascii="Times New Roman" w:eastAsia="Times New Roman" w:hAnsi="Times New Roman" w:cs="Times New Roman"/>
          <w:sz w:val="24"/>
          <w:szCs w:val="24"/>
          <w:lang w:eastAsia="ru-RU"/>
        </w:rPr>
        <w:t xml:space="preserve"> г. </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A5481" w:rsidRPr="007623F1" w:rsidRDefault="008A5481" w:rsidP="008A5481">
      <w:pPr>
        <w:spacing w:after="0"/>
        <w:jc w:val="both"/>
        <w:rPr>
          <w:rFonts w:ascii="Times New Roman" w:eastAsia="Times New Roman" w:hAnsi="Times New Roman" w:cs="Calibri"/>
          <w:sz w:val="24"/>
          <w:szCs w:val="24"/>
          <w:lang w:eastAsia="ru-RU"/>
        </w:rPr>
      </w:pPr>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8A5481" w:rsidRPr="007623F1" w:rsidRDefault="008A5481" w:rsidP="008A5481">
      <w:pPr>
        <w:spacing w:before="120" w:after="120"/>
        <w:jc w:val="both"/>
        <w:rPr>
          <w:rFonts w:ascii="Times New Roman" w:hAnsi="Times New Roman"/>
          <w:sz w:val="24"/>
          <w:szCs w:val="24"/>
        </w:rPr>
      </w:pPr>
      <w:r w:rsidRPr="007623F1">
        <w:rPr>
          <w:rFonts w:ascii="Times New Roman" w:hAnsi="Times New Roman"/>
          <w:sz w:val="24"/>
          <w:szCs w:val="24"/>
        </w:rPr>
        <w:t xml:space="preserve">Общество </w:t>
      </w:r>
      <w:r w:rsidR="00B954E7" w:rsidRPr="007623F1">
        <w:rPr>
          <w:rFonts w:ascii="Times New Roman" w:hAnsi="Times New Roman"/>
          <w:sz w:val="24"/>
          <w:szCs w:val="24"/>
        </w:rPr>
        <w:t>____________________________________________</w:t>
      </w:r>
      <w:r w:rsidR="00AD0BEB" w:rsidRPr="007623F1">
        <w:rPr>
          <w:rFonts w:ascii="Times New Roman" w:hAnsi="Times New Roman"/>
          <w:sz w:val="24"/>
          <w:szCs w:val="24"/>
        </w:rPr>
        <w:t>,</w:t>
      </w:r>
      <w:r w:rsidR="00B954E7" w:rsidRPr="007623F1">
        <w:rPr>
          <w:rFonts w:ascii="Times New Roman" w:hAnsi="Times New Roman"/>
          <w:sz w:val="24"/>
          <w:szCs w:val="24"/>
        </w:rPr>
        <w:t xml:space="preserve"> </w:t>
      </w:r>
      <w:r w:rsidR="007A2908">
        <w:rPr>
          <w:rFonts w:ascii="Times New Roman" w:hAnsi="Times New Roman"/>
          <w:sz w:val="24"/>
          <w:szCs w:val="24"/>
        </w:rPr>
        <w:t xml:space="preserve">именуемое </w:t>
      </w:r>
      <w:r w:rsidR="007A2908" w:rsidRPr="007623F1">
        <w:rPr>
          <w:rFonts w:ascii="Times New Roman" w:eastAsia="Times New Roman" w:hAnsi="Times New Roman" w:cs="Calibri"/>
          <w:sz w:val="24"/>
          <w:szCs w:val="24"/>
          <w:lang w:eastAsia="ru-RU"/>
        </w:rPr>
        <w:t>в дальнейшем «</w:t>
      </w:r>
      <w:r w:rsidR="00261825">
        <w:rPr>
          <w:rFonts w:ascii="Times New Roman" w:eastAsia="Times New Roman" w:hAnsi="Times New Roman" w:cs="Calibri"/>
          <w:b/>
          <w:sz w:val="24"/>
          <w:szCs w:val="24"/>
          <w:lang w:eastAsia="ru-RU"/>
        </w:rPr>
        <w:t>Генеральный п</w:t>
      </w:r>
      <w:r w:rsidR="007A2908">
        <w:rPr>
          <w:rFonts w:ascii="Times New Roman" w:eastAsia="Times New Roman" w:hAnsi="Times New Roman" w:cs="Calibri"/>
          <w:b/>
          <w:sz w:val="24"/>
          <w:szCs w:val="24"/>
          <w:lang w:eastAsia="ru-RU"/>
        </w:rPr>
        <w:t xml:space="preserve">одрядчик», </w:t>
      </w:r>
      <w:r w:rsidR="007A2908">
        <w:rPr>
          <w:rFonts w:ascii="Times New Roman" w:hAnsi="Times New Roman"/>
          <w:sz w:val="24"/>
          <w:szCs w:val="24"/>
        </w:rPr>
        <w:t xml:space="preserve">в лице_____________________, </w:t>
      </w:r>
      <w:r w:rsidR="007A2908" w:rsidRPr="007623F1">
        <w:rPr>
          <w:rFonts w:ascii="Times New Roman" w:hAnsi="Times New Roman"/>
          <w:sz w:val="24"/>
          <w:szCs w:val="24"/>
        </w:rPr>
        <w:t>действующее на основании _______________________  с другой сторо</w:t>
      </w:r>
      <w:r w:rsidR="00057246">
        <w:rPr>
          <w:rFonts w:ascii="Times New Roman" w:hAnsi="Times New Roman"/>
          <w:sz w:val="24"/>
          <w:szCs w:val="24"/>
        </w:rPr>
        <w:t xml:space="preserve">ны, </w:t>
      </w:r>
    </w:p>
    <w:p w:rsidR="008A5481" w:rsidRPr="007623F1" w:rsidRDefault="008A5481" w:rsidP="008A5481">
      <w:pPr>
        <w:spacing w:after="0"/>
        <w:jc w:val="both"/>
        <w:rPr>
          <w:rFonts w:ascii="Times New Roman" w:hAnsi="Times New Roman"/>
          <w:sz w:val="24"/>
          <w:szCs w:val="24"/>
        </w:rPr>
      </w:pPr>
      <w:proofErr w:type="gramStart"/>
      <w:r w:rsidRPr="007623F1">
        <w:rPr>
          <w:rFonts w:ascii="Times New Roman" w:hAnsi="Times New Roman"/>
          <w:sz w:val="24"/>
          <w:szCs w:val="24"/>
        </w:rPr>
        <w:t xml:space="preserve">согласовали настоящие Требования </w:t>
      </w:r>
      <w:r w:rsidR="00AD0BEB" w:rsidRPr="007623F1">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Pr="007623F1">
        <w:rPr>
          <w:rFonts w:ascii="Times New Roman" w:hAnsi="Times New Roman"/>
          <w:sz w:val="24"/>
          <w:szCs w:val="24"/>
        </w:rPr>
        <w:t xml:space="preserve"> обязательные при исполнении Договора </w:t>
      </w:r>
      <w:r w:rsidR="00882032">
        <w:rPr>
          <w:rFonts w:ascii="Times New Roman" w:hAnsi="Times New Roman"/>
          <w:sz w:val="24"/>
          <w:szCs w:val="24"/>
        </w:rPr>
        <w:t xml:space="preserve">на разработку Рабочей документации и выполнение строительно-монтажных работа </w:t>
      </w:r>
      <w:r w:rsidRPr="007623F1">
        <w:rPr>
          <w:rFonts w:ascii="Times New Roman" w:hAnsi="Times New Roman"/>
          <w:sz w:val="24"/>
          <w:szCs w:val="24"/>
        </w:rPr>
        <w:t xml:space="preserve">№ [номер] от [дата] </w:t>
      </w:r>
      <w:r w:rsidR="00B954E7" w:rsidRPr="007623F1">
        <w:rPr>
          <w:rFonts w:ascii="Times New Roman" w:hAnsi="Times New Roman"/>
          <w:bCs/>
          <w:sz w:val="24"/>
          <w:szCs w:val="24"/>
        </w:rPr>
        <w:t xml:space="preserve">______________________ </w:t>
      </w:r>
      <w:r w:rsidRPr="007623F1">
        <w:rPr>
          <w:rFonts w:ascii="Times New Roman" w:hAnsi="Times New Roman"/>
          <w:sz w:val="24"/>
          <w:szCs w:val="24"/>
        </w:rPr>
        <w:t>(</w:t>
      </w:r>
      <w:r w:rsidR="00AD0BEB" w:rsidRPr="007623F1">
        <w:rPr>
          <w:rFonts w:ascii="Times New Roman" w:hAnsi="Times New Roman"/>
          <w:sz w:val="24"/>
          <w:szCs w:val="24"/>
        </w:rPr>
        <w:t>далее</w:t>
      </w:r>
      <w:r w:rsidRPr="007623F1">
        <w:rPr>
          <w:rFonts w:ascii="Times New Roman" w:hAnsi="Times New Roman"/>
          <w:sz w:val="24"/>
          <w:szCs w:val="24"/>
        </w:rPr>
        <w:t xml:space="preserve"> – Договор)</w:t>
      </w:r>
      <w:r w:rsidR="00AD0BEB" w:rsidRPr="007623F1">
        <w:rPr>
          <w:rFonts w:ascii="Times New Roman" w:hAnsi="Times New Roman"/>
          <w:sz w:val="24"/>
          <w:szCs w:val="24"/>
        </w:rPr>
        <w:t>.</w:t>
      </w:r>
      <w:proofErr w:type="gramEnd"/>
    </w:p>
    <w:p w:rsidR="008A5481" w:rsidRPr="007623F1" w:rsidRDefault="008A5481"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на </w:t>
      </w:r>
      <w:r w:rsidR="00261825">
        <w:rPr>
          <w:rFonts w:ascii="Times New Roman" w:eastAsia="Times New Roman" w:hAnsi="Times New Roman" w:cs="Times New Roman"/>
          <w:sz w:val="24"/>
          <w:szCs w:val="24"/>
          <w:lang w:eastAsia="ru-RU"/>
        </w:rPr>
        <w:t xml:space="preserve">разработку Рабочей документации и </w:t>
      </w:r>
      <w:r w:rsidR="008920C7" w:rsidRPr="007623F1">
        <w:rPr>
          <w:rFonts w:ascii="Times New Roman" w:eastAsia="Times New Roman" w:hAnsi="Times New Roman" w:cs="Times New Roman"/>
          <w:sz w:val="24"/>
          <w:szCs w:val="24"/>
          <w:lang w:eastAsia="ru-RU"/>
        </w:rPr>
        <w:t>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4B615A"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Обязанности Генерального п</w:t>
      </w:r>
      <w:r w:rsidR="006B5AA9" w:rsidRPr="007623F1">
        <w:rPr>
          <w:rFonts w:ascii="Times New Roman" w:eastAsia="Times New Roman" w:hAnsi="Times New Roman" w:cs="Times New Roman"/>
          <w:b/>
          <w:sz w:val="24"/>
          <w:szCs w:val="24"/>
          <w:lang w:eastAsia="ru-RU"/>
        </w:rPr>
        <w:t>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882032">
        <w:rPr>
          <w:rFonts w:ascii="Times New Roman" w:eastAsia="Times New Roman" w:hAnsi="Times New Roman" w:cs="Times New Roman"/>
          <w:sz w:val="24"/>
          <w:szCs w:val="24"/>
          <w:lang w:eastAsia="ru-RU"/>
        </w:rPr>
        <w:t>Генеральным п</w:t>
      </w:r>
      <w:r w:rsidR="00BA758D" w:rsidRPr="007B4E41">
        <w:rPr>
          <w:rFonts w:ascii="Times New Roman" w:eastAsia="Times New Roman" w:hAnsi="Times New Roman" w:cs="Times New Roman"/>
          <w:sz w:val="24"/>
          <w:szCs w:val="24"/>
          <w:lang w:eastAsia="ru-RU"/>
        </w:rPr>
        <w:t>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88203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Передача Генеральному п</w:t>
      </w:r>
      <w:r w:rsidR="0051753B" w:rsidRPr="007B4E41">
        <w:rPr>
          <w:rFonts w:ascii="Times New Roman" w:eastAsia="Times New Roman" w:hAnsi="Times New Roman" w:cs="Times New Roman"/>
          <w:sz w:val="24"/>
          <w:szCs w:val="24"/>
          <w:lang w:eastAsia="ru-RU"/>
        </w:rPr>
        <w:t xml:space="preserve">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0051753B"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w:t>
      </w:r>
      <w:r>
        <w:rPr>
          <w:rFonts w:ascii="Times New Roman" w:eastAsia="Times New Roman" w:hAnsi="Times New Roman" w:cs="Times New Roman"/>
          <w:sz w:val="24"/>
          <w:szCs w:val="24"/>
          <w:lang w:eastAsia="ru-RU"/>
        </w:rPr>
        <w:t>формленного между Заказчиком и Генеральным п</w:t>
      </w:r>
      <w:r w:rsidR="0051753B" w:rsidRPr="007B4E41">
        <w:rPr>
          <w:rFonts w:ascii="Times New Roman" w:eastAsia="Times New Roman" w:hAnsi="Times New Roman" w:cs="Times New Roman"/>
          <w:sz w:val="24"/>
          <w:szCs w:val="24"/>
          <w:lang w:eastAsia="ru-RU"/>
        </w:rPr>
        <w:t>одрядчиком на период производства работ.</w:t>
      </w:r>
    </w:p>
    <w:p w:rsidR="00A87CAA" w:rsidRPr="007B4E41" w:rsidRDefault="0088203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A87CAA" w:rsidRPr="007B4E41">
        <w:rPr>
          <w:rFonts w:ascii="Times New Roman" w:eastAsia="Times New Roman" w:hAnsi="Times New Roman" w:cs="Times New Roman"/>
          <w:sz w:val="24"/>
          <w:szCs w:val="24"/>
          <w:lang w:eastAsia="ru-RU"/>
        </w:rPr>
        <w:t>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4B615A">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На выполнение работ в зонах действия опасных производственных факторов, возникновение которых не связано с</w:t>
      </w:r>
      <w:r w:rsidR="00882032">
        <w:rPr>
          <w:rFonts w:ascii="Times New Roman" w:eastAsia="Times New Roman" w:hAnsi="Times New Roman" w:cs="Times New Roman"/>
          <w:sz w:val="24"/>
          <w:szCs w:val="24"/>
          <w:lang w:eastAsia="ru-RU"/>
        </w:rPr>
        <w:t xml:space="preserve"> характером выполняемых работ, Генеральным п</w:t>
      </w:r>
      <w:r w:rsidRPr="007B4E41">
        <w:rPr>
          <w:rFonts w:ascii="Times New Roman" w:eastAsia="Times New Roman" w:hAnsi="Times New Roman" w:cs="Times New Roman"/>
          <w:sz w:val="24"/>
          <w:szCs w:val="24"/>
          <w:lang w:eastAsia="ru-RU"/>
        </w:rPr>
        <w:t xml:space="preserve">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w:t>
      </w:r>
      <w:r w:rsidR="00882032">
        <w:rPr>
          <w:rFonts w:ascii="Times New Roman" w:eastAsia="Times New Roman" w:hAnsi="Times New Roman" w:cs="Times New Roman"/>
          <w:sz w:val="24"/>
          <w:szCs w:val="24"/>
          <w:lang w:eastAsia="ru-RU"/>
        </w:rPr>
        <w:t>н быть утвержден руководителем Генерального п</w:t>
      </w:r>
      <w:r w:rsidRPr="007B4E41">
        <w:rPr>
          <w:rFonts w:ascii="Times New Roman" w:eastAsia="Times New Roman" w:hAnsi="Times New Roman" w:cs="Times New Roman"/>
          <w:sz w:val="24"/>
          <w:szCs w:val="24"/>
          <w:lang w:eastAsia="ru-RU"/>
        </w:rPr>
        <w:t>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882032">
        <w:rPr>
          <w:rFonts w:ascii="Times New Roman" w:eastAsia="Times New Roman" w:hAnsi="Times New Roman" w:cs="Times New Roman"/>
          <w:sz w:val="24"/>
          <w:szCs w:val="24"/>
          <w:lang w:eastAsia="ru-RU"/>
        </w:rPr>
        <w:t>ществляет Генеральный п</w:t>
      </w:r>
      <w:r w:rsidR="00082AA9" w:rsidRPr="007B4E41">
        <w:rPr>
          <w:rFonts w:ascii="Times New Roman" w:eastAsia="Times New Roman" w:hAnsi="Times New Roman" w:cs="Times New Roman"/>
          <w:sz w:val="24"/>
          <w:szCs w:val="24"/>
          <w:lang w:eastAsia="ru-RU"/>
        </w:rPr>
        <w:t>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Наряд-допуск выдается непосредственному руководителю работ (прорабу, мастеру, менеджеру и другим) должностным лицом, уполномоченным приказом </w:t>
      </w:r>
      <w:r w:rsidR="00882032">
        <w:rPr>
          <w:rFonts w:ascii="Times New Roman" w:eastAsia="Times New Roman" w:hAnsi="Times New Roman" w:cs="Times New Roman"/>
          <w:sz w:val="24"/>
          <w:szCs w:val="24"/>
          <w:lang w:eastAsia="ru-RU"/>
        </w:rPr>
        <w:t>Генерального п</w:t>
      </w:r>
      <w:r w:rsidRPr="007B4E41">
        <w:rPr>
          <w:rFonts w:ascii="Times New Roman" w:eastAsia="Times New Roman" w:hAnsi="Times New Roman" w:cs="Times New Roman"/>
          <w:sz w:val="24"/>
          <w:szCs w:val="24"/>
          <w:lang w:eastAsia="ru-RU"/>
        </w:rPr>
        <w:t>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882032">
        <w:rPr>
          <w:rFonts w:ascii="Times New Roman" w:eastAsia="Times New Roman" w:hAnsi="Times New Roman" w:cs="Times New Roman"/>
          <w:sz w:val="24"/>
          <w:szCs w:val="24"/>
          <w:lang w:eastAsia="ru-RU"/>
        </w:rPr>
        <w:t>третьих лиц, Генеральный п</w:t>
      </w:r>
      <w:r w:rsidR="00E2225E" w:rsidRPr="007B4E41">
        <w:rPr>
          <w:rFonts w:ascii="Times New Roman" w:eastAsia="Times New Roman" w:hAnsi="Times New Roman" w:cs="Times New Roman"/>
          <w:sz w:val="24"/>
          <w:szCs w:val="24"/>
          <w:lang w:eastAsia="ru-RU"/>
        </w:rPr>
        <w:t xml:space="preserve">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882032">
        <w:rPr>
          <w:rFonts w:ascii="Times New Roman" w:eastAsia="Times New Roman" w:hAnsi="Times New Roman" w:cs="Times New Roman"/>
          <w:sz w:val="24"/>
          <w:szCs w:val="24"/>
          <w:lang w:eastAsia="ru-RU"/>
        </w:rPr>
        <w:t>Генеральный п</w:t>
      </w:r>
      <w:r w:rsidR="00B8544F" w:rsidRPr="007B4E41">
        <w:rPr>
          <w:rFonts w:ascii="Times New Roman" w:eastAsia="Times New Roman" w:hAnsi="Times New Roman" w:cs="Times New Roman"/>
          <w:sz w:val="24"/>
          <w:szCs w:val="24"/>
          <w:lang w:eastAsia="ru-RU"/>
        </w:rPr>
        <w:t>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lastRenderedPageBreak/>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4B615A">
        <w:rPr>
          <w:rFonts w:ascii="Times New Roman" w:eastAsia="Times New Roman" w:hAnsi="Times New Roman" w:cs="Times New Roman"/>
          <w:sz w:val="24"/>
          <w:szCs w:val="24"/>
          <w:lang w:eastAsia="ru-RU"/>
        </w:rPr>
        <w:t>Генерального п</w:t>
      </w:r>
      <w:r w:rsidR="00977114" w:rsidRPr="00474AA7">
        <w:rPr>
          <w:rFonts w:ascii="Times New Roman" w:eastAsia="Times New Roman" w:hAnsi="Times New Roman" w:cs="Times New Roman"/>
          <w:sz w:val="24"/>
          <w:szCs w:val="24"/>
          <w:lang w:eastAsia="ru-RU"/>
        </w:rPr>
        <w:t>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882032">
        <w:rPr>
          <w:rFonts w:ascii="Times New Roman" w:eastAsia="Times New Roman" w:hAnsi="Times New Roman" w:cs="Times New Roman"/>
          <w:sz w:val="24"/>
          <w:szCs w:val="24"/>
          <w:lang w:eastAsia="ru-RU"/>
        </w:rPr>
        <w:t>Генеральный п</w:t>
      </w:r>
      <w:r w:rsidR="00561AF1" w:rsidRPr="007623F1">
        <w:rPr>
          <w:rFonts w:ascii="Times New Roman" w:eastAsia="Times New Roman" w:hAnsi="Times New Roman" w:cs="Times New Roman"/>
          <w:sz w:val="24"/>
          <w:szCs w:val="24"/>
          <w:lang w:eastAsia="ru-RU"/>
        </w:rPr>
        <w:t>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882032">
        <w:rPr>
          <w:rFonts w:ascii="Times New Roman" w:eastAsia="Times New Roman" w:hAnsi="Times New Roman" w:cs="Times New Roman"/>
          <w:sz w:val="24"/>
          <w:szCs w:val="24"/>
          <w:lang w:eastAsia="ru-RU"/>
        </w:rPr>
        <w:t>беспечить работников Генерального п</w:t>
      </w:r>
      <w:r w:rsidR="00B87190" w:rsidRPr="007623F1">
        <w:rPr>
          <w:rFonts w:ascii="Times New Roman" w:eastAsia="Times New Roman" w:hAnsi="Times New Roman" w:cs="Times New Roman"/>
          <w:sz w:val="24"/>
          <w:szCs w:val="24"/>
          <w:lang w:eastAsia="ru-RU"/>
        </w:rPr>
        <w:t>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w:t>
      </w:r>
      <w:bookmarkStart w:id="0" w:name="_GoBack"/>
      <w:bookmarkEnd w:id="0"/>
      <w:r w:rsidR="00022812">
        <w:rPr>
          <w:rFonts w:ascii="Times New Roman" w:eastAsia="Times New Roman" w:hAnsi="Times New Roman" w:cs="Times New Roman"/>
          <w:sz w:val="24"/>
          <w:szCs w:val="24"/>
          <w:lang w:eastAsia="ru-RU"/>
        </w:rPr>
        <w:t>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9B206F">
        <w:rPr>
          <w:rFonts w:ascii="Times New Roman" w:eastAsia="Times New Roman" w:hAnsi="Times New Roman" w:cs="Times New Roman"/>
          <w:sz w:val="24"/>
          <w:szCs w:val="24"/>
          <w:lang w:eastAsia="ru-RU"/>
        </w:rPr>
        <w:t>Генерального п</w:t>
      </w:r>
      <w:r w:rsidR="00B8544F" w:rsidRPr="007623F1">
        <w:rPr>
          <w:rFonts w:ascii="Times New Roman" w:eastAsia="Times New Roman" w:hAnsi="Times New Roman" w:cs="Times New Roman"/>
          <w:sz w:val="24"/>
          <w:szCs w:val="24"/>
          <w:lang w:eastAsia="ru-RU"/>
        </w:rPr>
        <w:t>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9B206F" w:rsidRPr="007623F1" w:rsidRDefault="009B206F" w:rsidP="009B206F">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9B206F"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7E1AF7" w:rsidRPr="000800A1">
        <w:rPr>
          <w:rFonts w:ascii="Times New Roman" w:eastAsia="Times New Roman" w:hAnsi="Times New Roman" w:cs="Times New Roman"/>
          <w:sz w:val="24"/>
          <w:szCs w:val="24"/>
          <w:lang w:eastAsia="ru-RU"/>
        </w:rPr>
        <w:t>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w:t>
      </w:r>
      <w:r>
        <w:rPr>
          <w:rFonts w:ascii="Times New Roman" w:eastAsia="Times New Roman" w:hAnsi="Times New Roman" w:cs="Times New Roman"/>
          <w:sz w:val="24"/>
          <w:szCs w:val="24"/>
          <w:lang w:eastAsia="ru-RU"/>
        </w:rPr>
        <w:t xml:space="preserve"> Европейского Союза и Нормами. Генеральный п</w:t>
      </w:r>
      <w:r w:rsidR="007E1AF7" w:rsidRPr="000800A1">
        <w:rPr>
          <w:rFonts w:ascii="Times New Roman" w:eastAsia="Times New Roman" w:hAnsi="Times New Roman" w:cs="Times New Roman"/>
          <w:sz w:val="24"/>
          <w:szCs w:val="24"/>
          <w:lang w:eastAsia="ru-RU"/>
        </w:rPr>
        <w:t>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w:t>
      </w:r>
      <w:r>
        <w:rPr>
          <w:rFonts w:ascii="Times New Roman" w:eastAsia="Times New Roman" w:hAnsi="Times New Roman" w:cs="Times New Roman"/>
          <w:sz w:val="24"/>
          <w:szCs w:val="24"/>
          <w:lang w:eastAsia="ru-RU"/>
        </w:rPr>
        <w:t>рава Заказчиком не освобождает Генерального п</w:t>
      </w:r>
      <w:r w:rsidR="007E1AF7" w:rsidRPr="000800A1">
        <w:rPr>
          <w:rFonts w:ascii="Times New Roman" w:eastAsia="Times New Roman" w:hAnsi="Times New Roman" w:cs="Times New Roman"/>
          <w:sz w:val="24"/>
          <w:szCs w:val="24"/>
          <w:lang w:eastAsia="ru-RU"/>
        </w:rPr>
        <w:t xml:space="preserve">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Право собственности на любые указанные в настоящей статье опасные вещ</w:t>
      </w:r>
      <w:r w:rsidR="009B206F">
        <w:rPr>
          <w:rFonts w:ascii="Times New Roman" w:eastAsia="Times New Roman" w:hAnsi="Times New Roman" w:cs="Times New Roman"/>
          <w:sz w:val="24"/>
          <w:szCs w:val="24"/>
          <w:lang w:eastAsia="ru-RU"/>
        </w:rPr>
        <w:t>ества и Материалы, принадлежат Генеральному п</w:t>
      </w:r>
      <w:r w:rsidRPr="00A231F3">
        <w:rPr>
          <w:rFonts w:ascii="Times New Roman" w:eastAsia="Times New Roman" w:hAnsi="Times New Roman" w:cs="Times New Roman"/>
          <w:sz w:val="24"/>
          <w:szCs w:val="24"/>
          <w:lang w:eastAsia="ru-RU"/>
        </w:rPr>
        <w:t xml:space="preserve">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9B206F"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7E1AF7" w:rsidRPr="00A231F3">
        <w:rPr>
          <w:rFonts w:ascii="Times New Roman" w:eastAsia="Times New Roman" w:hAnsi="Times New Roman" w:cs="Times New Roman"/>
          <w:sz w:val="24"/>
          <w:szCs w:val="24"/>
          <w:lang w:eastAsia="ru-RU"/>
        </w:rPr>
        <w:t>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w:t>
      </w:r>
      <w:r w:rsidR="009B206F">
        <w:rPr>
          <w:rFonts w:ascii="Times New Roman" w:eastAsia="Times New Roman" w:hAnsi="Times New Roman" w:cs="Times New Roman"/>
          <w:sz w:val="24"/>
          <w:szCs w:val="24"/>
          <w:lang w:eastAsia="ru-RU"/>
        </w:rPr>
        <w:t>а общедоступных полигонах ТБО (Генеральный п</w:t>
      </w:r>
      <w:r w:rsidRPr="00EE05DF">
        <w:rPr>
          <w:rFonts w:ascii="Times New Roman" w:eastAsia="Times New Roman" w:hAnsi="Times New Roman" w:cs="Times New Roman"/>
          <w:sz w:val="24"/>
          <w:szCs w:val="24"/>
          <w:lang w:eastAsia="ru-RU"/>
        </w:rPr>
        <w:t>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w:t>
      </w:r>
      <w:r w:rsidR="009B206F">
        <w:rPr>
          <w:rFonts w:ascii="Times New Roman" w:eastAsia="Times New Roman" w:hAnsi="Times New Roman" w:cs="Times New Roman"/>
          <w:sz w:val="24"/>
          <w:szCs w:val="24"/>
          <w:lang w:eastAsia="ru-RU"/>
        </w:rPr>
        <w:t>алы не могут быть использованы Генеральным п</w:t>
      </w:r>
      <w:r w:rsidRPr="00EE05DF">
        <w:rPr>
          <w:rFonts w:ascii="Times New Roman" w:eastAsia="Times New Roman" w:hAnsi="Times New Roman" w:cs="Times New Roman"/>
          <w:sz w:val="24"/>
          <w:szCs w:val="24"/>
          <w:lang w:eastAsia="ru-RU"/>
        </w:rPr>
        <w:t>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древесина, обработанная пентахлорофенолом;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9B206F"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7E1AF7" w:rsidRPr="00A231F3">
        <w:rPr>
          <w:rFonts w:ascii="Times New Roman" w:eastAsia="Times New Roman" w:hAnsi="Times New Roman" w:cs="Times New Roman"/>
          <w:sz w:val="24"/>
          <w:szCs w:val="24"/>
          <w:lang w:eastAsia="ru-RU"/>
        </w:rPr>
        <w:t>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9B206F"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Генеральный п</w:t>
      </w:r>
      <w:r w:rsidR="007E1AF7" w:rsidRPr="00A231F3">
        <w:rPr>
          <w:rFonts w:ascii="Times New Roman" w:eastAsia="Times New Roman" w:hAnsi="Times New Roman" w:cs="Times New Roman"/>
          <w:sz w:val="24"/>
          <w:szCs w:val="24"/>
          <w:lang w:eastAsia="ru-RU"/>
        </w:rPr>
        <w:t>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w:t>
      </w:r>
      <w:proofErr w:type="gramEnd"/>
      <w:r w:rsidR="007E1AF7" w:rsidRPr="00A231F3">
        <w:rPr>
          <w:rFonts w:ascii="Times New Roman" w:eastAsia="Times New Roman" w:hAnsi="Times New Roman" w:cs="Times New Roman"/>
          <w:sz w:val="24"/>
          <w:szCs w:val="24"/>
          <w:lang w:eastAsia="ru-RU"/>
        </w:rPr>
        <w:t xml:space="preserve">, в соответствии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Право собственности на любые образующиеся в процессе исполнен</w:t>
      </w:r>
      <w:r w:rsidR="009B206F">
        <w:rPr>
          <w:rFonts w:ascii="Times New Roman" w:eastAsia="Times New Roman" w:hAnsi="Times New Roman" w:cs="Times New Roman"/>
          <w:sz w:val="24"/>
          <w:szCs w:val="24"/>
          <w:lang w:eastAsia="ru-RU"/>
        </w:rPr>
        <w:t>ия Договора отходы принадлежит Генеральному п</w:t>
      </w:r>
      <w:r w:rsidRPr="00A231F3">
        <w:rPr>
          <w:rFonts w:ascii="Times New Roman" w:eastAsia="Times New Roman" w:hAnsi="Times New Roman" w:cs="Times New Roman"/>
          <w:sz w:val="24"/>
          <w:szCs w:val="24"/>
          <w:lang w:eastAsia="ru-RU"/>
        </w:rPr>
        <w:t xml:space="preserve">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9B206F"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7E1AF7" w:rsidRPr="00A231F3">
        <w:rPr>
          <w:rFonts w:ascii="Times New Roman" w:eastAsia="Times New Roman" w:hAnsi="Times New Roman" w:cs="Times New Roman"/>
          <w:sz w:val="24"/>
          <w:szCs w:val="24"/>
          <w:lang w:eastAsia="ru-RU"/>
        </w:rPr>
        <w:t>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Default="009B206F"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7E1AF7" w:rsidRPr="00A231F3">
        <w:rPr>
          <w:rFonts w:ascii="Times New Roman" w:eastAsia="Times New Roman" w:hAnsi="Times New Roman" w:cs="Times New Roman"/>
          <w:sz w:val="24"/>
          <w:szCs w:val="24"/>
          <w:lang w:eastAsia="ru-RU"/>
        </w:rPr>
        <w:t>одрядчик обязан проводить обучение (</w:t>
      </w:r>
      <w:proofErr w:type="spellStart"/>
      <w:r w:rsidR="007E1AF7" w:rsidRPr="00A231F3">
        <w:rPr>
          <w:rFonts w:ascii="Times New Roman" w:eastAsia="Times New Roman" w:hAnsi="Times New Roman" w:cs="Times New Roman"/>
          <w:sz w:val="24"/>
          <w:szCs w:val="24"/>
          <w:lang w:eastAsia="ru-RU"/>
        </w:rPr>
        <w:t>предаттестационную</w:t>
      </w:r>
      <w:proofErr w:type="spellEnd"/>
      <w:r w:rsidR="007E1AF7"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9B206F" w:rsidRPr="00A231F3" w:rsidRDefault="009B206F" w:rsidP="009B206F">
      <w:pPr>
        <w:pStyle w:val="af1"/>
        <w:spacing w:before="120" w:after="0" w:line="240" w:lineRule="auto"/>
        <w:ind w:left="709"/>
        <w:jc w:val="both"/>
        <w:rPr>
          <w:rFonts w:ascii="Times New Roman" w:eastAsia="Times New Roman" w:hAnsi="Times New Roman" w:cs="Times New Roman"/>
          <w:sz w:val="24"/>
          <w:szCs w:val="24"/>
          <w:lang w:eastAsia="ru-RU"/>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9B206F"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5B25DC" w:rsidRPr="007623F1">
        <w:rPr>
          <w:rFonts w:ascii="Times New Roman" w:eastAsia="Times New Roman" w:hAnsi="Times New Roman" w:cs="Times New Roman"/>
          <w:sz w:val="24"/>
          <w:szCs w:val="24"/>
          <w:lang w:eastAsia="ru-RU"/>
        </w:rPr>
        <w:t xml:space="preserve">одрядчик несет ответственность в </w:t>
      </w:r>
      <w:r w:rsidR="00A231F3">
        <w:rPr>
          <w:rFonts w:ascii="Times New Roman" w:eastAsia="Times New Roman" w:hAnsi="Times New Roman" w:cs="Times New Roman"/>
          <w:sz w:val="24"/>
          <w:szCs w:val="24"/>
          <w:lang w:eastAsia="ru-RU"/>
        </w:rPr>
        <w:t>рамках</w:t>
      </w:r>
      <w:r w:rsidR="005B25DC"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009B206F">
        <w:rPr>
          <w:rFonts w:ascii="Times New Roman" w:eastAsia="Times New Roman" w:hAnsi="Times New Roman" w:cs="Times New Roman"/>
          <w:sz w:val="24"/>
          <w:szCs w:val="24"/>
          <w:lang w:eastAsia="ru-RU"/>
        </w:rPr>
        <w:t xml:space="preserve"> Генеральным п</w:t>
      </w:r>
      <w:r w:rsidRPr="007623F1">
        <w:rPr>
          <w:rFonts w:ascii="Times New Roman" w:eastAsia="Times New Roman" w:hAnsi="Times New Roman" w:cs="Times New Roman"/>
          <w:sz w:val="24"/>
          <w:szCs w:val="24"/>
          <w:lang w:eastAsia="ru-RU"/>
        </w:rPr>
        <w:t>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9B206F">
        <w:rPr>
          <w:rFonts w:ascii="Times New Roman" w:eastAsia="Times New Roman" w:hAnsi="Times New Roman" w:cs="Times New Roman"/>
          <w:sz w:val="24"/>
          <w:szCs w:val="24"/>
          <w:lang w:eastAsia="ru-RU"/>
        </w:rPr>
        <w:lastRenderedPageBreak/>
        <w:t>Генеральным п</w:t>
      </w:r>
      <w:r w:rsidR="007B18D0" w:rsidRPr="007623F1">
        <w:rPr>
          <w:rFonts w:ascii="Times New Roman" w:eastAsia="Times New Roman" w:hAnsi="Times New Roman" w:cs="Times New Roman"/>
          <w:sz w:val="24"/>
          <w:szCs w:val="24"/>
          <w:lang w:eastAsia="ru-RU"/>
        </w:rPr>
        <w:t>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9B206F">
        <w:rPr>
          <w:rFonts w:ascii="Times New Roman" w:eastAsia="Times New Roman" w:hAnsi="Times New Roman" w:cs="Times New Roman"/>
          <w:sz w:val="24"/>
          <w:szCs w:val="24"/>
          <w:lang w:eastAsia="ru-RU"/>
        </w:rPr>
        <w:t>привлеченными Генеральным п</w:t>
      </w:r>
      <w:r w:rsidR="00B841DE" w:rsidRPr="007623F1">
        <w:rPr>
          <w:rFonts w:ascii="Times New Roman" w:eastAsia="Times New Roman" w:hAnsi="Times New Roman" w:cs="Times New Roman"/>
          <w:sz w:val="24"/>
          <w:szCs w:val="24"/>
          <w:lang w:eastAsia="ru-RU"/>
        </w:rPr>
        <w:t>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9B206F" w:rsidRPr="007623F1" w:rsidRDefault="009B206F" w:rsidP="009B206F">
      <w:pPr>
        <w:pStyle w:val="af1"/>
        <w:spacing w:before="120" w:after="0" w:line="240" w:lineRule="auto"/>
        <w:ind w:left="675"/>
        <w:jc w:val="both"/>
        <w:rPr>
          <w:rFonts w:ascii="Times New Roman" w:eastAsia="Times New Roman" w:hAnsi="Times New Roman" w:cs="Times New Roman"/>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9B206F">
        <w:rPr>
          <w:rFonts w:ascii="Times New Roman" w:eastAsia="Times New Roman" w:hAnsi="Times New Roman" w:cs="Times New Roman"/>
          <w:b/>
          <w:sz w:val="24"/>
          <w:szCs w:val="24"/>
          <w:lang w:eastAsia="ru-RU"/>
        </w:rPr>
        <w:t>Генерального п</w:t>
      </w:r>
      <w:r w:rsidR="007E1AF7" w:rsidRPr="00A231F3">
        <w:rPr>
          <w:rFonts w:ascii="Times New Roman" w:eastAsia="Times New Roman" w:hAnsi="Times New Roman" w:cs="Times New Roman"/>
          <w:b/>
          <w:sz w:val="24"/>
          <w:szCs w:val="24"/>
          <w:lang w:eastAsia="ru-RU"/>
        </w:rPr>
        <w:t>одрядчика</w:t>
      </w:r>
    </w:p>
    <w:p w:rsidR="008920C7" w:rsidRPr="007A153C" w:rsidRDefault="009B206F"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B8544F" w:rsidRPr="007A153C">
        <w:rPr>
          <w:rFonts w:ascii="Times New Roman" w:eastAsia="Times New Roman" w:hAnsi="Times New Roman" w:cs="Times New Roman"/>
          <w:sz w:val="24"/>
          <w:szCs w:val="24"/>
          <w:lang w:eastAsia="ru-RU"/>
        </w:rPr>
        <w:t>одрядчик</w:t>
      </w:r>
      <w:r w:rsidR="008920C7"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008920C7"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008920C7"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008920C7"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008920C7" w:rsidRPr="007A153C">
        <w:rPr>
          <w:rFonts w:ascii="Times New Roman" w:eastAsia="Times New Roman" w:hAnsi="Times New Roman" w:cs="Times New Roman"/>
          <w:sz w:val="24"/>
          <w:szCs w:val="24"/>
          <w:lang w:eastAsia="ru-RU"/>
        </w:rPr>
        <w:t>.</w:t>
      </w:r>
    </w:p>
    <w:p w:rsidR="004C6DCE" w:rsidRPr="007623F1" w:rsidRDefault="009B206F"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4C6DCE" w:rsidRPr="007623F1">
        <w:rPr>
          <w:rFonts w:ascii="Times New Roman" w:eastAsia="Times New Roman" w:hAnsi="Times New Roman" w:cs="Times New Roman"/>
          <w:sz w:val="24"/>
          <w:szCs w:val="24"/>
          <w:lang w:eastAsia="ru-RU"/>
        </w:rPr>
        <w:t>одрядчик несет ответственность за травмы, у</w:t>
      </w:r>
      <w:r>
        <w:rPr>
          <w:rFonts w:ascii="Times New Roman" w:eastAsia="Times New Roman" w:hAnsi="Times New Roman" w:cs="Times New Roman"/>
          <w:sz w:val="24"/>
          <w:szCs w:val="24"/>
          <w:lang w:eastAsia="ru-RU"/>
        </w:rPr>
        <w:t>вечья, смерть любого работника Генерального п</w:t>
      </w:r>
      <w:r w:rsidR="004C6DCE" w:rsidRPr="007623F1">
        <w:rPr>
          <w:rFonts w:ascii="Times New Roman" w:eastAsia="Times New Roman" w:hAnsi="Times New Roman" w:cs="Times New Roman"/>
          <w:sz w:val="24"/>
          <w:szCs w:val="24"/>
          <w:lang w:eastAsia="ru-RU"/>
        </w:rPr>
        <w:t>одрядчика и (или</w:t>
      </w:r>
      <w:r>
        <w:rPr>
          <w:rFonts w:ascii="Times New Roman" w:eastAsia="Times New Roman" w:hAnsi="Times New Roman" w:cs="Times New Roman"/>
          <w:sz w:val="24"/>
          <w:szCs w:val="24"/>
          <w:lang w:eastAsia="ru-RU"/>
        </w:rPr>
        <w:t>) третьего лица, привлекаемого Генеральным п</w:t>
      </w:r>
      <w:r w:rsidR="004C6DCE" w:rsidRPr="007623F1">
        <w:rPr>
          <w:rFonts w:ascii="Times New Roman" w:eastAsia="Times New Roman" w:hAnsi="Times New Roman" w:cs="Times New Roman"/>
          <w:sz w:val="24"/>
          <w:szCs w:val="24"/>
          <w:lang w:eastAsia="ru-RU"/>
        </w:rPr>
        <w:t>одрядчиком, в случае нарушения требований охраны труда, промышленно</w:t>
      </w:r>
      <w:r w:rsidR="00336802">
        <w:rPr>
          <w:rFonts w:ascii="Times New Roman" w:eastAsia="Times New Roman" w:hAnsi="Times New Roman" w:cs="Times New Roman"/>
          <w:sz w:val="24"/>
          <w:szCs w:val="24"/>
          <w:lang w:eastAsia="ru-RU"/>
        </w:rPr>
        <w:t>й, пожарной, экологической, сан</w:t>
      </w:r>
      <w:r w:rsidR="004C6DCE" w:rsidRPr="007623F1">
        <w:rPr>
          <w:rFonts w:ascii="Times New Roman" w:eastAsia="Times New Roman" w:hAnsi="Times New Roman" w:cs="Times New Roman"/>
          <w:sz w:val="24"/>
          <w:szCs w:val="24"/>
          <w:lang w:eastAsia="ru-RU"/>
        </w:rPr>
        <w:t>и</w:t>
      </w:r>
      <w:r w:rsidR="00336802">
        <w:rPr>
          <w:rFonts w:ascii="Times New Roman" w:eastAsia="Times New Roman" w:hAnsi="Times New Roman" w:cs="Times New Roman"/>
          <w:sz w:val="24"/>
          <w:szCs w:val="24"/>
          <w:lang w:eastAsia="ru-RU"/>
        </w:rPr>
        <w:t>та</w:t>
      </w:r>
      <w:r w:rsidR="004C6DCE" w:rsidRPr="007623F1">
        <w:rPr>
          <w:rFonts w:ascii="Times New Roman" w:eastAsia="Times New Roman" w:hAnsi="Times New Roman" w:cs="Times New Roman"/>
          <w:sz w:val="24"/>
          <w:szCs w:val="24"/>
          <w:lang w:eastAsia="ru-RU"/>
        </w:rPr>
        <w:t xml:space="preserve">рно-эпидемиологической безопасности. </w:t>
      </w:r>
    </w:p>
    <w:p w:rsidR="008920C7"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9B206F">
        <w:rPr>
          <w:rFonts w:ascii="Times New Roman" w:eastAsia="Times New Roman" w:hAnsi="Times New Roman" w:cs="Times New Roman"/>
          <w:sz w:val="24"/>
          <w:szCs w:val="24"/>
          <w:lang w:eastAsia="ru-RU"/>
        </w:rPr>
        <w:t>Генеральному п</w:t>
      </w:r>
      <w:r w:rsidR="00B8544F" w:rsidRPr="007623F1">
        <w:rPr>
          <w:rFonts w:ascii="Times New Roman" w:eastAsia="Times New Roman" w:hAnsi="Times New Roman" w:cs="Times New Roman"/>
          <w:sz w:val="24"/>
          <w:szCs w:val="24"/>
          <w:lang w:eastAsia="ru-RU"/>
        </w:rPr>
        <w:t>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9B206F" w:rsidRPr="007623F1" w:rsidRDefault="009B206F" w:rsidP="009B206F">
      <w:pPr>
        <w:pStyle w:val="af1"/>
        <w:spacing w:before="120" w:after="0" w:line="240" w:lineRule="auto"/>
        <w:ind w:left="675"/>
        <w:jc w:val="both"/>
        <w:rPr>
          <w:rFonts w:ascii="Times New Roman" w:eastAsia="Times New Roman" w:hAnsi="Times New Roman" w:cs="Times New Roman"/>
          <w:sz w:val="24"/>
          <w:szCs w:val="24"/>
          <w:lang w:eastAsia="ru-RU"/>
        </w:rPr>
      </w:pP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№_______________ от _____________20___г.</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9B206F">
        <w:rPr>
          <w:rFonts w:ascii="Times New Roman" w:eastAsia="Times New Roman" w:hAnsi="Times New Roman" w:cs="Times New Roman"/>
          <w:b/>
          <w:sz w:val="24"/>
          <w:szCs w:val="24"/>
          <w:lang w:eastAsia="ru-RU"/>
        </w:rPr>
        <w:t xml:space="preserve">        Генеральный п</w:t>
      </w:r>
      <w:r w:rsidRPr="007A153C">
        <w:rPr>
          <w:rFonts w:ascii="Times New Roman" w:eastAsia="Times New Roman" w:hAnsi="Times New Roman" w:cs="Times New Roman"/>
          <w:b/>
          <w:sz w:val="24"/>
          <w:szCs w:val="24"/>
          <w:lang w:eastAsia="ru-RU"/>
        </w:rPr>
        <w:t>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8920C7" w:rsidRPr="007623F1">
        <w:rPr>
          <w:rFonts w:ascii="Times New Roman" w:eastAsia="Times New Roman" w:hAnsi="Times New Roman" w:cs="Times New Roman"/>
          <w:sz w:val="24"/>
          <w:szCs w:val="24"/>
          <w:lang w:eastAsia="ru-RU"/>
        </w:rPr>
        <w:t>______________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183" w:rsidRDefault="004F7183" w:rsidP="001535AC">
      <w:pPr>
        <w:spacing w:after="0" w:line="240" w:lineRule="auto"/>
      </w:pPr>
      <w:r>
        <w:separator/>
      </w:r>
    </w:p>
  </w:endnote>
  <w:endnote w:type="continuationSeparator" w:id="0">
    <w:p w:rsidR="004F7183" w:rsidRDefault="004F7183"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4B615A">
      <w:rPr>
        <w:rStyle w:val="a8"/>
        <w:noProof/>
        <w:sz w:val="18"/>
        <w:szCs w:val="18"/>
      </w:rPr>
      <w:t>3</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4B615A">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183" w:rsidRDefault="004F7183" w:rsidP="001535AC">
      <w:pPr>
        <w:spacing w:after="0" w:line="240" w:lineRule="auto"/>
      </w:pPr>
      <w:r>
        <w:separator/>
      </w:r>
    </w:p>
  </w:footnote>
  <w:footnote w:type="continuationSeparator" w:id="0">
    <w:p w:rsidR="004F7183" w:rsidRDefault="004F7183"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39B2"/>
    <w:rsid w:val="001B4AEE"/>
    <w:rsid w:val="001E01D5"/>
    <w:rsid w:val="001E3D14"/>
    <w:rsid w:val="00204E96"/>
    <w:rsid w:val="00261825"/>
    <w:rsid w:val="002877A7"/>
    <w:rsid w:val="002A413A"/>
    <w:rsid w:val="002E245F"/>
    <w:rsid w:val="00336802"/>
    <w:rsid w:val="00363F6B"/>
    <w:rsid w:val="00474AA7"/>
    <w:rsid w:val="00494C9F"/>
    <w:rsid w:val="00495174"/>
    <w:rsid w:val="004B615A"/>
    <w:rsid w:val="004B6648"/>
    <w:rsid w:val="004C6DCE"/>
    <w:rsid w:val="004D35C3"/>
    <w:rsid w:val="004F7183"/>
    <w:rsid w:val="00505C28"/>
    <w:rsid w:val="0051753B"/>
    <w:rsid w:val="00561AF1"/>
    <w:rsid w:val="005B0FD0"/>
    <w:rsid w:val="005B25DC"/>
    <w:rsid w:val="005C2194"/>
    <w:rsid w:val="005E383D"/>
    <w:rsid w:val="00652F96"/>
    <w:rsid w:val="00687901"/>
    <w:rsid w:val="006B5AA9"/>
    <w:rsid w:val="00732B8D"/>
    <w:rsid w:val="007623F1"/>
    <w:rsid w:val="007A153C"/>
    <w:rsid w:val="007A2908"/>
    <w:rsid w:val="007A6CBE"/>
    <w:rsid w:val="007B18D0"/>
    <w:rsid w:val="007B4E41"/>
    <w:rsid w:val="007C3E9F"/>
    <w:rsid w:val="007D4FB6"/>
    <w:rsid w:val="007E1AF7"/>
    <w:rsid w:val="008069D9"/>
    <w:rsid w:val="0082199B"/>
    <w:rsid w:val="00882032"/>
    <w:rsid w:val="008920C7"/>
    <w:rsid w:val="008A1412"/>
    <w:rsid w:val="008A5481"/>
    <w:rsid w:val="008E6D18"/>
    <w:rsid w:val="00902B3D"/>
    <w:rsid w:val="00977114"/>
    <w:rsid w:val="00993AAE"/>
    <w:rsid w:val="009A66CC"/>
    <w:rsid w:val="009B206F"/>
    <w:rsid w:val="009C4883"/>
    <w:rsid w:val="00A23031"/>
    <w:rsid w:val="00A231F3"/>
    <w:rsid w:val="00A87CAA"/>
    <w:rsid w:val="00AD0BEB"/>
    <w:rsid w:val="00B35003"/>
    <w:rsid w:val="00B81756"/>
    <w:rsid w:val="00B841DE"/>
    <w:rsid w:val="00B8544F"/>
    <w:rsid w:val="00B87190"/>
    <w:rsid w:val="00B954E7"/>
    <w:rsid w:val="00BA758D"/>
    <w:rsid w:val="00CA7FBB"/>
    <w:rsid w:val="00CB21F5"/>
    <w:rsid w:val="00D065ED"/>
    <w:rsid w:val="00D3271F"/>
    <w:rsid w:val="00D91C59"/>
    <w:rsid w:val="00E2225E"/>
    <w:rsid w:val="00E54837"/>
    <w:rsid w:val="00EB4D1A"/>
    <w:rsid w:val="00EE05DF"/>
    <w:rsid w:val="00EE3F71"/>
    <w:rsid w:val="00F01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9697E48-0329-409D-8F36-C995C503A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2737</Words>
  <Characters>15606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9</cp:revision>
  <cp:lastPrinted>2015-10-28T08:10:00Z</cp:lastPrinted>
  <dcterms:created xsi:type="dcterms:W3CDTF">2015-10-29T12:28:00Z</dcterms:created>
  <dcterms:modified xsi:type="dcterms:W3CDTF">2016-06-09T12:48:00Z</dcterms:modified>
</cp:coreProperties>
</file>